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宋体" w:hAnsi="宋体" w:cs="宋体"/>
          <w:color w:val="0000FF"/>
          <w:szCs w:val="21"/>
          <w:highlight w:val="none"/>
          <w:lang w:val="en-US" w:eastAsia="zh-CN"/>
        </w:rPr>
      </w:pPr>
      <w:r>
        <w:rPr>
          <w:rFonts w:hint="eastAsia" w:ascii="宋体" w:hAnsi="宋体" w:cs="宋体"/>
          <w:color w:val="000000"/>
          <w:highlight w:val="none"/>
        </w:rPr>
        <w:t>货物需求及技术要求</w:t>
      </w:r>
    </w:p>
    <w:p>
      <w:pPr>
        <w:widowControl/>
        <w:spacing w:line="500" w:lineRule="exact"/>
        <w:ind w:firstLine="430"/>
        <w:jc w:val="left"/>
        <w:rPr>
          <w:rFonts w:hint="eastAsia" w:ascii="宋体" w:hAnsi="宋体" w:cs="宋体"/>
          <w:b/>
          <w:bCs/>
          <w:color w:val="000000"/>
          <w:szCs w:val="21"/>
        </w:rPr>
      </w:pPr>
      <w:bookmarkStart w:id="0" w:name="_Toc54938481"/>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p>
    <w:p>
      <w:pPr>
        <w:widowControl/>
        <w:spacing w:line="360" w:lineRule="auto"/>
        <w:ind w:firstLine="405"/>
        <w:jc w:val="left"/>
        <w:rPr>
          <w:rFonts w:ascii="宋体" w:hAnsi="宋体"/>
          <w:b/>
          <w:bCs/>
          <w:szCs w:val="21"/>
          <w:highlight w:val="none"/>
        </w:rPr>
      </w:pPr>
      <w:r>
        <w:rPr>
          <w:rFonts w:hint="eastAsia" w:ascii="宋体" w:hAnsi="宋体" w:eastAsia="宋体" w:cs="宋体"/>
          <w:b/>
          <w:bCs/>
          <w:szCs w:val="21"/>
          <w:highlight w:val="none"/>
        </w:rPr>
        <w:t>1</w:t>
      </w:r>
      <w:r>
        <w:rPr>
          <w:rFonts w:hint="eastAsia" w:ascii="宋体" w:hAnsi="宋体"/>
          <w:b/>
          <w:bCs/>
          <w:szCs w:val="21"/>
          <w:highlight w:val="none"/>
        </w:rPr>
        <w:t>、在采购活动开始前没有获准采购进口产品而开展采购活动的，视同为拒绝采购进口产品。</w:t>
      </w:r>
    </w:p>
    <w:p>
      <w:pPr>
        <w:widowControl/>
        <w:spacing w:line="360" w:lineRule="auto"/>
        <w:ind w:firstLine="405"/>
        <w:jc w:val="left"/>
        <w:rPr>
          <w:rFonts w:hint="eastAsia" w:ascii="宋体" w:hAnsi="宋体"/>
          <w:b/>
          <w:bCs/>
          <w:szCs w:val="21"/>
          <w:highlight w:val="none"/>
        </w:rPr>
      </w:pPr>
      <w:r>
        <w:rPr>
          <w:rFonts w:hint="eastAsia" w:ascii="宋体" w:hAnsi="宋体" w:eastAsia="宋体" w:cs="宋体"/>
          <w:b/>
          <w:bCs/>
          <w:szCs w:val="21"/>
          <w:highlight w:val="none"/>
        </w:rPr>
        <w:t>2</w:t>
      </w:r>
      <w:r>
        <w:rPr>
          <w:rFonts w:hint="eastAsia" w:ascii="宋体" w:hAnsi="宋体"/>
          <w:b/>
          <w:bCs/>
          <w:szCs w:val="21"/>
          <w:highlight w:val="none"/>
        </w:rPr>
        <w:t>、根据“关于印发《政府采购进口产品管理办法》的通知”及“关于政府采购进口产品管理有关问题的通知”的相关规定：下列采购需求中标注进口产品的货物均已履行相关论证手续，经核准采购进口产品，但不限制满足</w:t>
      </w:r>
      <w:r>
        <w:rPr>
          <w:rFonts w:hint="eastAsia" w:ascii="宋体" w:hAnsi="宋体"/>
          <w:b/>
          <w:bCs/>
          <w:szCs w:val="21"/>
          <w:highlight w:val="none"/>
          <w:lang w:val="en-US" w:eastAsia="zh-CN"/>
        </w:rPr>
        <w:t>谈判</w:t>
      </w:r>
      <w:r>
        <w:rPr>
          <w:rFonts w:hint="eastAsia" w:ascii="宋体" w:hAnsi="宋体"/>
          <w:b/>
          <w:bCs/>
          <w:szCs w:val="21"/>
          <w:highlight w:val="none"/>
          <w:lang w:eastAsia="zh-CN"/>
        </w:rPr>
        <w:t>文件</w:t>
      </w:r>
      <w:r>
        <w:rPr>
          <w:rFonts w:hint="eastAsia" w:ascii="宋体" w:hAnsi="宋体"/>
          <w:b/>
          <w:bCs/>
          <w:szCs w:val="21"/>
          <w:highlight w:val="none"/>
        </w:rPr>
        <w:t>要求的国内产品参与竞争。未标注进口产品的货物均为拒绝采购进口产品。</w:t>
      </w:r>
    </w:p>
    <w:p>
      <w:pPr>
        <w:widowControl/>
        <w:spacing w:line="360" w:lineRule="auto"/>
        <w:ind w:firstLine="405" w:firstLineChars="0"/>
        <w:jc w:val="left"/>
        <w:rPr>
          <w:rFonts w:hint="eastAsia"/>
        </w:rPr>
      </w:pPr>
      <w:r>
        <w:rPr>
          <w:rFonts w:hint="eastAsia" w:ascii="宋体" w:hAnsi="宋体" w:eastAsia="宋体" w:cs="宋体"/>
          <w:b/>
          <w:bCs/>
          <w:szCs w:val="21"/>
          <w:highlight w:val="none"/>
        </w:rPr>
        <w:t>3</w:t>
      </w:r>
      <w:r>
        <w:rPr>
          <w:rFonts w:hint="eastAsia" w:ascii="宋体" w:hAnsi="宋体"/>
          <w:b/>
          <w:bCs/>
          <w:szCs w:val="21"/>
          <w:highlight w:val="none"/>
        </w:rPr>
        <w:t>、</w:t>
      </w:r>
      <w:r>
        <w:rPr>
          <w:rFonts w:hint="eastAsia" w:ascii="宋体" w:hAnsi="宋体"/>
          <w:b/>
          <w:bCs/>
          <w:szCs w:val="21"/>
          <w:highlight w:val="none"/>
          <w:lang w:eastAsia="zh-CN"/>
        </w:rPr>
        <w:t>成交人</w:t>
      </w:r>
      <w:r>
        <w:rPr>
          <w:rFonts w:hint="eastAsia" w:ascii="宋体" w:hAnsi="宋体"/>
          <w:b/>
          <w:bCs/>
          <w:szCs w:val="21"/>
          <w:highlight w:val="none"/>
        </w:rPr>
        <w:t>提供的货物为进口产品的，供货时须向采购人提供所投进口产品的海关报关单等证明材料。</w:t>
      </w:r>
    </w:p>
    <w:p>
      <w:pPr>
        <w:pStyle w:val="4"/>
        <w:numPr>
          <w:ilvl w:val="0"/>
          <w:numId w:val="1"/>
        </w:numPr>
        <w:ind w:firstLine="472" w:firstLineChars="196"/>
        <w:rPr>
          <w:rFonts w:hint="eastAsia" w:hAnsi="宋体" w:cs="宋体"/>
          <w:color w:val="000000"/>
          <w:highlight w:val="none"/>
        </w:rPr>
      </w:pPr>
      <w:r>
        <w:rPr>
          <w:rFonts w:hint="eastAsia" w:hAnsi="宋体" w:cs="宋体"/>
          <w:bCs/>
          <w:color w:val="000000"/>
          <w:szCs w:val="24"/>
          <w:highlight w:val="none"/>
        </w:rPr>
        <w:t>货物需求一览表</w:t>
      </w:r>
      <w:bookmarkEnd w:id="0"/>
      <w:bookmarkStart w:id="1" w:name="_Toc4579"/>
      <w:bookmarkStart w:id="2" w:name="_Toc54938482"/>
    </w:p>
    <w:tbl>
      <w:tblPr>
        <w:tblStyle w:val="7"/>
        <w:tblpPr w:leftFromText="180" w:rightFromText="180" w:vertAnchor="text" w:horzAnchor="page" w:tblpX="1588" w:tblpY="452"/>
        <w:tblOverlap w:val="never"/>
        <w:tblW w:w="92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496"/>
        <w:gridCol w:w="1084"/>
        <w:gridCol w:w="5000"/>
        <w:gridCol w:w="735"/>
        <w:gridCol w:w="69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3" w:hRule="atLeast"/>
        </w:trPr>
        <w:tc>
          <w:tcPr>
            <w:tcW w:w="496"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序号</w:t>
            </w:r>
          </w:p>
        </w:tc>
        <w:tc>
          <w:tcPr>
            <w:tcW w:w="1084"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设备名称</w:t>
            </w:r>
          </w:p>
        </w:tc>
        <w:tc>
          <w:tcPr>
            <w:tcW w:w="5000" w:type="dxa"/>
            <w:vAlign w:val="center"/>
          </w:tcPr>
          <w:p>
            <w:pPr>
              <w:snapToGrid w:val="0"/>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谈判</w:t>
            </w:r>
            <w:r>
              <w:rPr>
                <w:rFonts w:hint="eastAsia" w:ascii="宋体" w:hAnsi="宋体" w:eastAsia="宋体" w:cs="宋体"/>
                <w:b/>
                <w:bCs/>
                <w:sz w:val="21"/>
                <w:szCs w:val="21"/>
                <w:lang w:eastAsia="zh-CN"/>
              </w:rPr>
              <w:t>技术参数</w:t>
            </w:r>
          </w:p>
        </w:tc>
        <w:tc>
          <w:tcPr>
            <w:tcW w:w="735"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单位</w:t>
            </w:r>
          </w:p>
        </w:tc>
        <w:tc>
          <w:tcPr>
            <w:tcW w:w="690"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数量</w:t>
            </w:r>
          </w:p>
        </w:tc>
        <w:tc>
          <w:tcPr>
            <w:tcW w:w="1222" w:type="dxa"/>
            <w:vAlign w:val="center"/>
          </w:tcPr>
          <w:p>
            <w:pPr>
              <w:snapToGrid w:val="0"/>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主机（含测试系统软件，云平台）</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一、数据的评分：根据新标准的权重比，自动计算出各项测试数据的分数，以及总的得分数，可以更直观的看出自己各项的成绩处于哪个层次。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二、运动判断：根据国家标准的评分办法，自动计算出各项测试数据的分数处于等级，四个等级分为：优秀、良好、及格、不及格。</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三、数据的统计与分析：</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根据测试数据，可针对学校、年级、班级、个人进行统计，生成四个等级成绩的百分比，可以看圆饼图一目了然，还可以进行学校与学校，年级与年级，班级与班级，个人与个人之间进行对比。从而可以知道自己学校、各年级、各班级的整体体质状况和发展趋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四、数据上报：给软件接口，数据可直接上报国家学生体质健康网上的“数据上报平台”，并且可生成EXCEL表格完成上报。数据格式完全符合国家学生体质健康网上数据格式。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五、云端：把数据放云端，管理系统平台后台由云服务器支撑，所有数据全部上云端，可以储存历史数据，可以随时调出供各年级共享。同时云端数据备份学校数据中心，其管理系统平台后台由学校服务器承担。</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六、学生成长档案：</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通过学生的历史数据，对该学生的历年成绩的变化趋势，自动生成一份成长档案，可以查看学生历年的数据，还根据历年数据生成一个成长曲线图，直观的知道自己历年来体质状况的发展趋势及变化。</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七、内置功能模块</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1.内置各种网络模块，根据学校实际情况组成局域网络，测试数据实时传输至云端平台，及时保存，永不丢失，不需备份，且后台数据可以一键导出，自动生成表格文档，方便快捷；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2.支持国家体质测试标准的各种项目测试功能，既可以平时体育训练使用，又满足中考测试使用；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3.完整的数据平台链接，支持省级、市级、县级、校级、班级、家长平台搭建，数据统计、分析，各级部门可根据平台权限时时查看所管理区域的体测成绩及数据分析。对接学校数据中心永久免费提供数据接口。</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4.安全性能可靠：户外安装，随时使用。外观设计均采用无棱角弧度防撞设计，设备机身内外喷塑处理，运用导流槽设计，可做到防水、防尘、防爆，设备用电均为36V以下安全供电。</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5.根据各个学校实际情况，测试项目实现模块化，可按照实际需求灵活配置。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6.要求谈判响应人免费永久开放端口并与学校数据中心对接，可提取学生相关数据。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7.体质健康测试卡使用学生身份证代替。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8.主机及其测试终端设备全部符合国家相关技术标准。</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台</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包含云平台,一台固定控制机台，一台移动控制机台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2</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控制终端</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rPr>
            </w:pPr>
            <w:r>
              <w:rPr>
                <w:rFonts w:hint="eastAsia" w:ascii="宋体" w:hAnsi="宋体" w:eastAsia="宋体" w:cs="宋体"/>
                <w:b w:val="0"/>
                <w:bCs w:val="0"/>
                <w:i w:val="0"/>
                <w:iCs w:val="0"/>
                <w:color w:val="000000"/>
                <w:kern w:val="0"/>
                <w:sz w:val="21"/>
                <w:szCs w:val="21"/>
                <w:u w:val="none"/>
                <w:lang w:val="en-US" w:eastAsia="zh-CN" w:bidi="ar"/>
              </w:rPr>
              <w:t>1.软件基于Android系统开发，兼容windows10以上和IOS系统，采用物联技术，系统自动收集，统计，分析数据，实现真正智能。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2.可以测试所有项目，户外防水。主机可同时控制和操作多个终端主机，测试项目可以根据实际测试需求进行调整，汇总各项测试功能的数据。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3.采用电脑工控机，高频多核的CPU性能强大，远超传统的单片机；</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台</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身高体重测试仪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1.量程：身高90~210cm;误差≤±0.1cm;分度值：0.1cm，体重5~150kg;误差≤±0.1kg; 分度值：0.1kg；</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4.同时测量人体身高体重，反映被测者身体匀称度和发育形态指数（BMI）；</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5.身高测试采用高精度超声波传感器测量身高，非接触式测量，安全准确，体重使用一体式体重传感器，测试精度高，耐疲劳、寿命长；</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1.主机采用17寸高清触摸屏+安卓系统配置，分辨率不低于1200×1920，屏幕亮度不低于1000cd/2，图形化的操作界面，系统稳定，支持多点触控，交互性强。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3.可无线外接多台设备同步测试，支持传统的1托6、1托12个设备等方式同时进行测试，极大提高工作效率，主机采用中文显示界面，采用语音合成技术，具备语音提示功能。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5.符合《普通高等学校体育场地基本要求及体育器材配备目录》和《国家学生体质健康标准》等相关测试和建设要求；</w:t>
            </w:r>
          </w:p>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6.户外安装，随时使用。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4</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肺活量测试仪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1.量程：0mL～9999mL;误差≤±0.3%;测量分度值：1mL；</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4.自动测定人体呼吸的最大通气能力，其数值反映肺的容积和肺的扩展能力。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5.使用高精密传感器，精度高，具有温度补偿功能，吹管优化设计与处理，不易产生积水，防补气（防作弊）功能，补气时自动锁定数据；</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6.吹管可自由冲洗，有效避免有害病菌交叉感染，保护受试者身体健康；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仰卧起坐测试仪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1.量程：0～9999次;测量分度值：1次；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4.通过对被试者在规定时间内完成仰卧起坐的个数，可反映人体的腹部肌群力量；</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5.红外探头自动感应，自动计数；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4</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坐位体前屈测试</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1.量程：-20.0～38.0cm;误差：±0.1cm;测量分度值：0.1cm；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4.自动测量坐位体前屈的数值，从而反映躯干、腰、髋等部位关节、肌肉和韧带的伸展性和柔韧性；</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5.采用先进的传感器，具有精度高，抗光性强的独特特点，不易受外在坏环境影响；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6.坐位体前屈测试仪器采用一体化设计，提高测试精度，防止学生测试过程中双膝弯曲作弊。</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1.主机采用17寸高清触摸屏+安卓系统配置，分辨率不低于1200×1920，屏幕亮度不低于1000cd/2，图形化的操作界面，系统稳定，支持多点触控，交互性强。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立定跳远测试仪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1.量程：60～300cm;误差：±1cm;测量分度值：1cm；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4.用红外线非接触自动测量立定跳远的距离，反映人体下肢爆发力水平。采用红外线非接触传感器测量原理，测试数据准确，经久耐用，可扩展全量程和犯规监测功能。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8</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50米跑测试仪</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(4人测）</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1.量程：0～999.9s;误差：±0.1s;测量分度值：0.1s；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4.自动测量50米短跑的时间,测试受试者速度，反映速度、灵敏素质及神经系统灵活性的发展水平，标配4人测试，可以扩展到8人测试；</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3.可无线外接多台设备同步测试，支持传统的1托6个设备等方式同时进行测试，极大提高工作效率，主机采用中文显示界面，采用语音合成技术，具备语音提示功能。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9</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中长跑测试仪(40人测)</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1.量程：0～6000.0s;误差：±0.1s;测量分度值：0.1s；</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4.采用超高频RFID无线读取技术，测试者每人戴一个手环，可满足多人同时测试，通过设置圈数计时测试，方便安全；</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5.自动测量中长跑的时间,测试受试者速度，反映速度、灵敏素质及神经系统灵活性及耐力的发展水平</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48" w:hRule="atLeast"/>
        </w:trPr>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10</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引体向上测试仪</w:t>
            </w:r>
          </w:p>
        </w:tc>
        <w:tc>
          <w:tcPr>
            <w:tcW w:w="5000" w:type="dxa"/>
            <w:vAlign w:val="top"/>
          </w:tcPr>
          <w:p>
            <w:pPr>
              <w:keepNext w:val="0"/>
              <w:keepLines w:val="0"/>
              <w:widowControl/>
              <w:suppressLineNumbers w:val="0"/>
              <w:spacing w:line="360" w:lineRule="auto"/>
              <w:jc w:val="left"/>
              <w:textAlignment w:val="top"/>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外设参数：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1.量程：0～9999次;测量分度值：1次；</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2.工作环境温度：5~40℃，湿度：≤90%。存储环境：温度:-10~50℃，湿度：≤75%；</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3.电源：DC12V/20A，电控箱提供；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4.测试受试者的上肢力量和身体平衡能力；</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5.红外探头自动感应，自动计数；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内置参数:</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1.主机采用17寸高清触摸屏+安卓系统，分辨率不低于1200×1920，屏幕亮度不低于1000cd/2，图形化的操作界面，系统稳定，支持多点触控，交互性强。</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2.测试数据实时传输至云端平台，实时存储，永不丢失，数据可以一键导出，方便快捷；</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3.可无线外接多台设备同步测试，支持传统的1托4个设备等方式同时进行测试，极大提高工作效率，主机采用中文显示界面，采用语音合成技术，具备语音提示功能。</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4.主机具备能实时显示测试者的姓名、测试成绩，主机与附件无线连接，开机即可完成自动匹配。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5.户外安装，随时使用。</w:t>
            </w:r>
          </w:p>
        </w:tc>
        <w:tc>
          <w:tcPr>
            <w:tcW w:w="735"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套</w:t>
            </w:r>
          </w:p>
        </w:tc>
        <w:tc>
          <w:tcPr>
            <w:tcW w:w="690"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000000"/>
                <w:kern w:val="0"/>
                <w:sz w:val="21"/>
                <w:szCs w:val="21"/>
                <w:u w:val="none"/>
                <w:lang w:val="en-US" w:eastAsia="zh-CN" w:bidi="ar"/>
              </w:rPr>
              <w:t>2</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96" w:type="dxa"/>
            <w:vAlign w:val="center"/>
          </w:tcPr>
          <w:p>
            <w:pPr>
              <w:snapToGrid w:val="0"/>
              <w:spacing w:line="36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11</w:t>
            </w:r>
          </w:p>
        </w:tc>
        <w:tc>
          <w:tcPr>
            <w:tcW w:w="1084" w:type="dxa"/>
            <w:vAlign w:val="center"/>
          </w:tcPr>
          <w:p>
            <w:pPr>
              <w:keepNext w:val="0"/>
              <w:keepLines w:val="0"/>
              <w:widowControl/>
              <w:suppressLineNumbers w:val="0"/>
              <w:spacing w:line="360" w:lineRule="auto"/>
              <w:jc w:val="center"/>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外部电源系统</w:t>
            </w:r>
          </w:p>
        </w:tc>
        <w:tc>
          <w:tcPr>
            <w:tcW w:w="5000" w:type="dxa"/>
            <w:vAlign w:val="center"/>
          </w:tcPr>
          <w:p>
            <w:pPr>
              <w:keepNext w:val="0"/>
              <w:keepLines w:val="0"/>
              <w:widowControl/>
              <w:suppressLineNumbers w:val="0"/>
              <w:spacing w:line="360" w:lineRule="auto"/>
              <w:jc w:val="left"/>
              <w:textAlignment w:val="center"/>
              <w:rPr>
                <w:rFonts w:hint="eastAsia" w:ascii="宋体" w:hAnsi="宋体" w:eastAsia="宋体" w:cs="宋体"/>
                <w:b w:val="0"/>
                <w:bCs w:val="0"/>
                <w:sz w:val="21"/>
                <w:szCs w:val="21"/>
                <w:lang w:eastAsia="zh-CN"/>
              </w:rPr>
            </w:pPr>
            <w:r>
              <w:rPr>
                <w:rFonts w:hint="eastAsia" w:ascii="宋体" w:hAnsi="宋体" w:eastAsia="宋体" w:cs="宋体"/>
                <w:b w:val="0"/>
                <w:bCs w:val="0"/>
                <w:i w:val="0"/>
                <w:iCs w:val="0"/>
                <w:color w:val="000000"/>
                <w:kern w:val="0"/>
                <w:sz w:val="21"/>
                <w:szCs w:val="21"/>
                <w:u w:val="none"/>
                <w:lang w:val="en-US" w:eastAsia="zh-CN" w:bidi="ar"/>
              </w:rPr>
              <w:t>2*2.5平方户外电缆180米，穿线管180米及接头，胶水等，施工布控等</w:t>
            </w:r>
          </w:p>
        </w:tc>
        <w:tc>
          <w:tcPr>
            <w:tcW w:w="735"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w:t>
            </w:r>
          </w:p>
        </w:tc>
        <w:tc>
          <w:tcPr>
            <w:tcW w:w="690" w:type="dxa"/>
            <w:vAlign w:val="center"/>
          </w:tcPr>
          <w:p>
            <w:pPr>
              <w:spacing w:line="36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222" w:type="dxa"/>
            <w:vAlign w:val="center"/>
          </w:tcPr>
          <w:p>
            <w:pPr>
              <w:snapToGrid w:val="0"/>
              <w:spacing w:line="360" w:lineRule="auto"/>
              <w:jc w:val="center"/>
              <w:rPr>
                <w:rFonts w:hint="eastAsia" w:ascii="宋体" w:hAnsi="宋体" w:eastAsia="宋体" w:cs="宋体"/>
                <w:b w:val="0"/>
                <w:bCs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227" w:type="dxa"/>
            <w:gridSpan w:val="6"/>
            <w:vAlign w:val="center"/>
          </w:tcPr>
          <w:p>
            <w:pPr>
              <w:spacing w:line="360" w:lineRule="auto"/>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说明：谈判响应人的谈判响应文件必须标明所投货物的品牌与参数，保证原厂正品供货，提供相关资料等。</w:t>
            </w:r>
          </w:p>
          <w:p>
            <w:pPr>
              <w:snapToGrid w:val="0"/>
              <w:spacing w:line="360" w:lineRule="auto"/>
              <w:jc w:val="both"/>
              <w:rPr>
                <w:rFonts w:hint="eastAsia" w:ascii="宋体" w:hAnsi="宋体" w:eastAsia="宋体" w:cs="宋体"/>
                <w:b w:val="0"/>
                <w:bCs w:val="0"/>
                <w:sz w:val="21"/>
                <w:szCs w:val="21"/>
                <w:lang w:eastAsia="zh-CN"/>
              </w:rPr>
            </w:pPr>
            <w:r>
              <w:rPr>
                <w:rFonts w:hint="eastAsia" w:ascii="宋体" w:hAnsi="宋体" w:eastAsia="宋体" w:cs="宋体"/>
                <w:b/>
                <w:bCs/>
                <w:color w:val="000000"/>
                <w:sz w:val="21"/>
                <w:szCs w:val="21"/>
              </w:rPr>
              <w:t>本次采购最高限价：人民币</w:t>
            </w:r>
            <w:r>
              <w:rPr>
                <w:rFonts w:hint="eastAsia" w:ascii="宋体" w:hAnsi="宋体" w:eastAsia="宋体" w:cs="宋体"/>
                <w:b/>
                <w:bCs/>
                <w:color w:val="000000"/>
                <w:sz w:val="21"/>
                <w:szCs w:val="21"/>
                <w:lang w:val="en-US" w:eastAsia="zh-CN"/>
              </w:rPr>
              <w:t>贰拾玖万贰仟肆佰贰拾</w:t>
            </w:r>
            <w:r>
              <w:rPr>
                <w:rFonts w:hint="eastAsia" w:ascii="宋体" w:hAnsi="宋体" w:eastAsia="宋体" w:cs="宋体"/>
                <w:b/>
                <w:bCs/>
                <w:color w:val="000000"/>
                <w:sz w:val="21"/>
                <w:szCs w:val="21"/>
              </w:rPr>
              <w:t>元整（￥</w:t>
            </w:r>
            <w:r>
              <w:rPr>
                <w:rFonts w:hint="eastAsia" w:ascii="宋体" w:hAnsi="宋体" w:eastAsia="宋体" w:cs="宋体"/>
                <w:b/>
                <w:bCs/>
                <w:color w:val="000000"/>
                <w:sz w:val="21"/>
                <w:szCs w:val="21"/>
                <w:lang w:val="en-US" w:eastAsia="zh-CN"/>
              </w:rPr>
              <w:t>292420.00</w:t>
            </w:r>
            <w:r>
              <w:rPr>
                <w:rFonts w:hint="eastAsia" w:ascii="宋体" w:hAnsi="宋体" w:eastAsia="宋体" w:cs="宋体"/>
                <w:b/>
                <w:bCs/>
                <w:color w:val="000000"/>
                <w:sz w:val="21"/>
                <w:szCs w:val="21"/>
              </w:rPr>
              <w:t>元）</w:t>
            </w:r>
          </w:p>
        </w:tc>
      </w:tr>
    </w:tbl>
    <w:p>
      <w:pPr>
        <w:pStyle w:val="5"/>
        <w:rPr>
          <w:rFonts w:hint="eastAsia"/>
        </w:rPr>
      </w:pPr>
    </w:p>
    <w:p>
      <w:pPr>
        <w:pStyle w:val="4"/>
        <w:ind w:firstLine="472" w:firstLineChars="196"/>
        <w:rPr>
          <w:rFonts w:hAnsi="宋体" w:cs="宋体"/>
          <w:color w:val="000000"/>
          <w:highlight w:val="none"/>
        </w:rPr>
      </w:pPr>
      <w:r>
        <w:rPr>
          <w:rFonts w:hint="eastAsia" w:hAnsi="宋体" w:cs="宋体"/>
          <w:color w:val="000000"/>
          <w:highlight w:val="none"/>
        </w:rPr>
        <w:t>二、人员培训要求</w:t>
      </w:r>
      <w:bookmarkEnd w:id="1"/>
      <w:bookmarkEnd w:id="2"/>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4"/>
        <w:ind w:firstLine="472" w:firstLineChars="196"/>
        <w:rPr>
          <w:rFonts w:hAnsi="宋体" w:cs="宋体"/>
          <w:color w:val="000000"/>
          <w:highlight w:val="none"/>
        </w:rPr>
      </w:pPr>
      <w:bookmarkStart w:id="3" w:name="_Toc54938483"/>
      <w:bookmarkStart w:id="4" w:name="_Toc21193"/>
      <w:r>
        <w:rPr>
          <w:rFonts w:hint="eastAsia" w:hAnsi="宋体" w:cs="宋体"/>
          <w:color w:val="000000"/>
          <w:highlight w:val="none"/>
        </w:rPr>
        <w:t>三、货物质量及售后服务要求</w:t>
      </w:r>
      <w:bookmarkEnd w:id="3"/>
      <w:bookmarkEnd w:id="4"/>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1</w:t>
      </w:r>
      <w:r>
        <w:rPr>
          <w:rFonts w:hint="eastAsia" w:ascii="宋体" w:hAnsi="宋体" w:cs="宋体"/>
          <w:color w:val="000000"/>
          <w:szCs w:val="21"/>
          <w:highlight w:val="none"/>
        </w:rPr>
        <w:t>、货物质量：成交人提供的货物必须是全新、原装、合格正品，完全符合国家规定的质量标准和厂方的标准。货物完好，配件齐全。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eastAsia="宋体" w:cs="宋体"/>
          <w:color w:val="000000"/>
          <w:szCs w:val="21"/>
          <w:highlight w:val="none"/>
        </w:rPr>
        <w:t>2</w:t>
      </w:r>
      <w:r>
        <w:rPr>
          <w:rFonts w:hint="eastAsia" w:ascii="宋体" w:hAnsi="宋体" w:cs="宋体"/>
          <w:color w:val="000000"/>
          <w:szCs w:val="21"/>
          <w:highlight w:val="none"/>
        </w:rPr>
        <w:t>、保修及售后服务：依据商品的保修条款及售后服务条款，提供原厂质保，质保期按照国家规定，且不低于所供品牌向用户承诺的质保期限，竞争性谈判文件另有约定的从其约定。质保期从货物验收合格后算起。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4"/>
        <w:ind w:firstLine="472" w:firstLineChars="196"/>
        <w:rPr>
          <w:rFonts w:hAnsi="宋体" w:cs="宋体"/>
          <w:color w:val="000000"/>
          <w:highlight w:val="none"/>
        </w:rPr>
      </w:pPr>
      <w:bookmarkStart w:id="5" w:name="_Toc54938484"/>
      <w:bookmarkStart w:id="6" w:name="_Toc23093"/>
      <w:r>
        <w:rPr>
          <w:rFonts w:hint="eastAsia" w:hAnsi="宋体" w:cs="宋体"/>
          <w:color w:val="000000"/>
          <w:highlight w:val="none"/>
        </w:rPr>
        <w:t>四、验收</w:t>
      </w:r>
      <w:bookmarkEnd w:id="5"/>
      <w:bookmarkEnd w:id="6"/>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pP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181ED"/>
    <w:multiLevelType w:val="singleLevel"/>
    <w:tmpl w:val="B9018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ZmI1NjJlMzA2YWVlMjZiNTFiYjg5NjRkNTAxNWQifQ=="/>
  </w:docVars>
  <w:rsids>
    <w:rsidRoot w:val="614016E4"/>
    <w:rsid w:val="61401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2022-07-08T08:30:00Z</dcterms:created>
  <dc:creator>NTKO</dc:creator>
  <cp:lastModifiedBy>NTKO</cp:lastModifiedBy>
  <dcterms:modified xsi:type="dcterms:W3CDTF">2022-07-08T08:30:20Z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6D929D5A7F36450C96607829818D616C</vt:lpwstr>
  </property>
</Properties>
</file>